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443" w:type="dxa"/>
        <w:tblLook w:val="04A0"/>
      </w:tblPr>
      <w:tblGrid>
        <w:gridCol w:w="332"/>
        <w:gridCol w:w="4596"/>
        <w:gridCol w:w="935"/>
        <w:gridCol w:w="851"/>
        <w:gridCol w:w="807"/>
        <w:gridCol w:w="851"/>
        <w:gridCol w:w="870"/>
      </w:tblGrid>
      <w:tr w:rsidR="004A08A8" w:rsidRPr="002B5C42" w:rsidTr="00F969E8">
        <w:trPr>
          <w:trHeight w:val="570"/>
        </w:trPr>
        <w:tc>
          <w:tcPr>
            <w:tcW w:w="92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8A8" w:rsidRDefault="004A08A8" w:rsidP="004A08A8">
            <w:pPr>
              <w:tabs>
                <w:tab w:val="left" w:pos="5235"/>
              </w:tabs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ตารางแสดงผลการดำเนินงานด้านการเงินของโรงพยาบาลสัตหีบกม.</w:t>
            </w: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</w:p>
          <w:p w:rsidR="003B6416" w:rsidRPr="002B5C42" w:rsidRDefault="003B6416" w:rsidP="004A08A8">
            <w:pPr>
              <w:tabs>
                <w:tab w:val="left" w:pos="5235"/>
              </w:tabs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A08A8" w:rsidRPr="002B5C42" w:rsidTr="00F969E8">
        <w:trPr>
          <w:trHeight w:val="360"/>
        </w:trPr>
        <w:tc>
          <w:tcPr>
            <w:tcW w:w="4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รายการ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เป้าหมาย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ปี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ปี</w:t>
            </w:r>
          </w:p>
        </w:tc>
      </w:tr>
      <w:tr w:rsidR="004A08A8" w:rsidRPr="002B5C42" w:rsidTr="00F969E8">
        <w:trPr>
          <w:trHeight w:val="360"/>
        </w:trPr>
        <w:tc>
          <w:tcPr>
            <w:tcW w:w="4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8A8" w:rsidRPr="002B5C42" w:rsidRDefault="004A08A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08A8" w:rsidRPr="002B5C42" w:rsidRDefault="004A08A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281E9B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2556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9C6A98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255</w:t>
            </w:r>
            <w:r w:rsidR="009C6A9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9C6A98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255</w:t>
            </w:r>
            <w:r w:rsidR="009C6A9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9C6A98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255</w:t>
            </w:r>
            <w:r w:rsidR="009C6A9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9</w:t>
            </w:r>
          </w:p>
        </w:tc>
      </w:tr>
      <w:tr w:rsidR="004A08A8" w:rsidRPr="002B5C42" w:rsidTr="00F969E8">
        <w:trPr>
          <w:trHeight w:val="360"/>
        </w:trPr>
        <w:tc>
          <w:tcPr>
            <w:tcW w:w="4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8A8" w:rsidRPr="002B5C42" w:rsidRDefault="004A08A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08A8" w:rsidRPr="002B5C42" w:rsidRDefault="004A08A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Pr="002B5C42" w:rsidRDefault="004A08A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8A8" w:rsidRDefault="005C7D8E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(</w:t>
            </w:r>
            <w:r w:rsidR="003D4FC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เม</w:t>
            </w:r>
            <w:r w:rsidR="0000008F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.ย</w:t>
            </w:r>
            <w:r w:rsidR="003D4FC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.59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-</w:t>
            </w:r>
            <w:r w:rsidR="003D4FC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ก.ย</w:t>
            </w:r>
            <w:r w:rsidR="00281E9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.</w:t>
            </w:r>
            <w:r w:rsidR="009C6A9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59)</w:t>
            </w:r>
          </w:p>
          <w:p w:rsidR="009C6A98" w:rsidRPr="002B5C42" w:rsidRDefault="009C6A9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9C6A98" w:rsidRPr="002B5C42" w:rsidTr="009C6A98">
        <w:trPr>
          <w:trHeight w:val="289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อัตราส่วน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เงินทุน</w:t>
            </w: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หมุนเวียน ( </w:t>
            </w: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>Current ratio 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4A08A8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 xml:space="preserve">≥ </w:t>
            </w: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1.64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1.29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0.90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3D4FC3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1.46</w:t>
            </w:r>
          </w:p>
        </w:tc>
      </w:tr>
      <w:tr w:rsidR="009C6A98" w:rsidRPr="002B5C42" w:rsidTr="009C6A98">
        <w:trPr>
          <w:trHeight w:val="251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 xml:space="preserve">อัตราส่วนสินทรัพย์หมุนเวียน ( </w:t>
            </w:r>
            <w:r w:rsidR="00A31584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 xml:space="preserve">Quick </w:t>
            </w:r>
            <w:r w:rsidR="00A31584">
              <w:rPr>
                <w:rFonts w:ascii="TH SarabunPSK" w:eastAsia="Times New Roman" w:hAnsi="TH SarabunPSK" w:cs="TH SarabunPSK"/>
                <w:color w:val="000000"/>
                <w:sz w:val="28"/>
              </w:rPr>
              <w:t>r</w:t>
            </w: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>atio 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4A08A8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 xml:space="preserve">≥ </w:t>
            </w: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646C58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1.46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1.23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0.85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3D4FC3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1.39</w:t>
            </w:r>
          </w:p>
        </w:tc>
      </w:tr>
      <w:tr w:rsidR="009C6A98" w:rsidRPr="002B5C42" w:rsidTr="009C6A98">
        <w:trPr>
          <w:trHeight w:val="199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ระยะเวลารอรับชำระหนี้เฉลี่ย (วัน)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4A08A8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90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วัน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58.35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21.79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582972" w:rsidP="00E120A5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180.40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3D4FC3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26.25</w:t>
            </w:r>
          </w:p>
        </w:tc>
      </w:tr>
      <w:tr w:rsidR="009C6A98" w:rsidRPr="002B5C42" w:rsidTr="009C6A98">
        <w:trPr>
          <w:trHeight w:val="199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ระยะเวลาชำระหนี้เฉลี่ย (วัน)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4A08A8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90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วัน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51.42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725.68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646.69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3D4FC3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1284.34</w:t>
            </w:r>
          </w:p>
        </w:tc>
      </w:tr>
      <w:tr w:rsidR="009C6A98" w:rsidRPr="002B5C42" w:rsidTr="009C6A98">
        <w:trPr>
          <w:trHeight w:val="199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0D346F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>I</w:t>
            </w: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/</w:t>
            </w: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 xml:space="preserve">E ratio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4A08A8">
            <w:pPr>
              <w:spacing w:after="0"/>
              <w:jc w:val="lef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</w:rPr>
              <w:t xml:space="preserve">≥ </w:t>
            </w:r>
            <w:r w:rsidRPr="002B5C42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1.29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1.04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9C6A98" w:rsidP="005D369D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8"/>
              </w:rPr>
              <w:t>0.68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6A98" w:rsidRPr="002B5C42" w:rsidRDefault="00281E9B" w:rsidP="000D346F">
            <w:pPr>
              <w:spacing w:after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0.9</w:t>
            </w:r>
            <w:r w:rsidR="003D4FC3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5</w:t>
            </w:r>
          </w:p>
        </w:tc>
      </w:tr>
    </w:tbl>
    <w:p w:rsidR="003A47E8" w:rsidRDefault="003A47E8" w:rsidP="003A47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A47E8" w:rsidRDefault="003A47E8" w:rsidP="003A47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32665">
        <w:rPr>
          <w:rFonts w:ascii="TH SarabunPSK" w:hAnsi="TH SarabunPSK" w:cs="TH SarabunPSK"/>
          <w:b/>
          <w:bCs/>
          <w:sz w:val="32"/>
          <w:szCs w:val="32"/>
        </w:rPr>
        <w:t xml:space="preserve">IV-3 </w:t>
      </w:r>
      <w:r w:rsidRPr="00F32665">
        <w:rPr>
          <w:rFonts w:ascii="TH SarabunPSK" w:hAnsi="TH SarabunPSK" w:cs="TH SarabunPSK" w:hint="cs"/>
          <w:b/>
          <w:bCs/>
          <w:sz w:val="32"/>
          <w:szCs w:val="32"/>
          <w:cs/>
        </w:rPr>
        <w:t>ผลด้านการเงิน</w:t>
      </w:r>
    </w:p>
    <w:p w:rsidR="00F32665" w:rsidRPr="00F32665" w:rsidRDefault="00F32665" w:rsidP="005C2326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32665">
        <w:rPr>
          <w:rFonts w:ascii="TH SarabunPSK" w:hAnsi="TH SarabunPSK" w:cs="TH SarabunPSK" w:hint="cs"/>
          <w:b/>
          <w:bCs/>
          <w:sz w:val="32"/>
          <w:szCs w:val="32"/>
          <w:cs/>
        </w:rPr>
        <w:t>สภาพคล่อง</w:t>
      </w:r>
    </w:p>
    <w:p w:rsidR="0052130D" w:rsidRDefault="00346AF9" w:rsidP="005C2326">
      <w:pPr>
        <w:jc w:val="center"/>
        <w:rPr>
          <w:rFonts w:ascii="TH SarabunPSK" w:hAnsi="TH SarabunPSK" w:cs="TH SarabunPSK"/>
          <w:b/>
          <w:bCs/>
          <w:sz w:val="28"/>
        </w:rPr>
      </w:pPr>
      <w:r w:rsidRPr="00534479">
        <w:rPr>
          <w:rFonts w:ascii="TH SarabunPSK" w:hAnsi="TH SarabunPSK" w:cs="TH SarabunPSK"/>
          <w:b/>
          <w:bCs/>
          <w:sz w:val="28"/>
          <w:cs/>
        </w:rPr>
        <w:t>กราฟ</w:t>
      </w:r>
      <w:r w:rsidR="00534479" w:rsidRPr="00534479">
        <w:rPr>
          <w:rFonts w:ascii="TH SarabunPSK" w:hAnsi="TH SarabunPSK" w:cs="TH SarabunPSK" w:hint="cs"/>
          <w:b/>
          <w:bCs/>
          <w:sz w:val="28"/>
          <w:cs/>
        </w:rPr>
        <w:t xml:space="preserve">ที่ </w:t>
      </w:r>
      <w:r w:rsidR="00AC2885" w:rsidRPr="00534479">
        <w:rPr>
          <w:rFonts w:ascii="TH SarabunPSK" w:hAnsi="TH SarabunPSK" w:cs="TH SarabunPSK"/>
          <w:b/>
          <w:bCs/>
          <w:sz w:val="28"/>
          <w:cs/>
        </w:rPr>
        <w:t>แสดง</w:t>
      </w:r>
      <w:r w:rsidR="0098021A" w:rsidRPr="00534479">
        <w:rPr>
          <w:rFonts w:ascii="TH SarabunPSK" w:hAnsi="TH SarabunPSK" w:cs="TH SarabunPSK" w:hint="cs"/>
          <w:b/>
          <w:bCs/>
          <w:sz w:val="28"/>
          <w:cs/>
        </w:rPr>
        <w:t>อัตราส่วน</w:t>
      </w:r>
      <w:r w:rsidR="00534479" w:rsidRPr="00534479">
        <w:rPr>
          <w:rFonts w:ascii="TH SarabunPSK" w:hAnsi="TH SarabunPSK" w:cs="TH SarabunPSK" w:hint="cs"/>
          <w:b/>
          <w:bCs/>
          <w:sz w:val="28"/>
          <w:cs/>
        </w:rPr>
        <w:t xml:space="preserve">เงินทุนหมุนเวียน </w:t>
      </w:r>
      <w:r w:rsidR="008E6832">
        <w:rPr>
          <w:rFonts w:ascii="TH SarabunPSK" w:hAnsi="TH SarabunPSK" w:cs="TH SarabunPSK"/>
          <w:b/>
          <w:bCs/>
          <w:sz w:val="28"/>
          <w:cs/>
        </w:rPr>
        <w:t xml:space="preserve">เป้า </w:t>
      </w:r>
      <w:r w:rsidR="008E6832">
        <w:rPr>
          <w:rFonts w:ascii="TH SarabunPSK" w:hAnsi="TH SarabunPSK" w:cs="TH SarabunPSK"/>
          <w:b/>
          <w:bCs/>
          <w:sz w:val="28"/>
        </w:rPr>
        <w:t>&gt;</w:t>
      </w:r>
      <w:r w:rsidR="00AC2885" w:rsidRPr="00534479">
        <w:rPr>
          <w:rFonts w:ascii="TH SarabunPSK" w:hAnsi="TH SarabunPSK" w:cs="TH SarabunPSK"/>
          <w:b/>
          <w:bCs/>
          <w:sz w:val="28"/>
          <w:cs/>
        </w:rPr>
        <w:t xml:space="preserve"> 1.5</w:t>
      </w:r>
      <w:r w:rsidR="00534479" w:rsidRPr="00534479">
        <w:rPr>
          <w:rFonts w:ascii="TH SarabunPSK" w:hAnsi="TH SarabunPSK" w:cs="TH SarabunPSK" w:hint="cs"/>
          <w:b/>
          <w:bCs/>
          <w:sz w:val="28"/>
          <w:cs/>
        </w:rPr>
        <w:t xml:space="preserve"> กราฟที่  แสดงอัตราส่วนสินทรัพย์คล่องตัวเป้า </w:t>
      </w:r>
      <w:r w:rsidR="008E6832">
        <w:rPr>
          <w:rFonts w:ascii="TH SarabunPSK" w:hAnsi="TH SarabunPSK" w:cs="TH SarabunPSK"/>
          <w:b/>
          <w:bCs/>
          <w:sz w:val="28"/>
        </w:rPr>
        <w:t>&gt;</w:t>
      </w:r>
      <w:r w:rsidR="00534479" w:rsidRPr="00534479">
        <w:rPr>
          <w:rFonts w:ascii="TH SarabunPSK" w:hAnsi="TH SarabunPSK" w:cs="TH SarabunPSK" w:hint="cs"/>
          <w:b/>
          <w:bCs/>
          <w:sz w:val="28"/>
          <w:cs/>
        </w:rPr>
        <w:t xml:space="preserve"> 1</w:t>
      </w:r>
    </w:p>
    <w:p w:rsidR="00534479" w:rsidRPr="00534479" w:rsidRDefault="002011C1" w:rsidP="005C2326">
      <w:pPr>
        <w:jc w:val="center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14605</wp:posOffset>
            </wp:positionV>
            <wp:extent cx="2533650" cy="1171575"/>
            <wp:effectExtent l="19050" t="0" r="19050" b="0"/>
            <wp:wrapThrough wrapText="bothSides">
              <wp:wrapPolygon edited="0">
                <wp:start x="-162" y="0"/>
                <wp:lineTo x="-162" y="21424"/>
                <wp:lineTo x="21762" y="21424"/>
                <wp:lineTo x="21762" y="0"/>
                <wp:lineTo x="-162" y="0"/>
              </wp:wrapPolygon>
            </wp:wrapThrough>
            <wp:docPr id="3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>
        <w:rPr>
          <w:rFonts w:ascii="TH SarabunPSK" w:hAnsi="TH SarabunPSK" w:cs="TH SarabunPSK"/>
          <w:b/>
          <w:bCs/>
          <w:noProof/>
          <w:sz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3223260</wp:posOffset>
            </wp:positionH>
            <wp:positionV relativeFrom="paragraph">
              <wp:posOffset>14605</wp:posOffset>
            </wp:positionV>
            <wp:extent cx="2438400" cy="1171575"/>
            <wp:effectExtent l="19050" t="0" r="19050" b="0"/>
            <wp:wrapThrough wrapText="bothSides">
              <wp:wrapPolygon edited="0">
                <wp:start x="-169" y="0"/>
                <wp:lineTo x="-169" y="21424"/>
                <wp:lineTo x="21769" y="21424"/>
                <wp:lineTo x="21769" y="0"/>
                <wp:lineTo x="-169" y="0"/>
              </wp:wrapPolygon>
            </wp:wrapThrough>
            <wp:docPr id="4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AC2885" w:rsidRPr="00DB07DC" w:rsidRDefault="00AC2885">
      <w:pPr>
        <w:rPr>
          <w:rFonts w:ascii="TH SarabunPSK" w:hAnsi="TH SarabunPSK" w:cs="TH SarabunPSK"/>
          <w:sz w:val="28"/>
        </w:rPr>
      </w:pPr>
    </w:p>
    <w:p w:rsidR="00AC2885" w:rsidRPr="00DB07DC" w:rsidRDefault="00AC2885">
      <w:pPr>
        <w:rPr>
          <w:rFonts w:ascii="TH SarabunPSK" w:hAnsi="TH SarabunPSK" w:cs="TH SarabunPSK"/>
          <w:sz w:val="28"/>
        </w:rPr>
      </w:pPr>
    </w:p>
    <w:p w:rsidR="00DB07DC" w:rsidRPr="00DB07DC" w:rsidRDefault="00DB07DC" w:rsidP="00DB07DC">
      <w:pPr>
        <w:rPr>
          <w:rFonts w:ascii="TH SarabunPSK" w:hAnsi="TH SarabunPSK" w:cs="TH SarabunPSK"/>
          <w:b/>
          <w:bCs/>
          <w:sz w:val="28"/>
          <w:u w:val="single"/>
        </w:rPr>
      </w:pPr>
    </w:p>
    <w:p w:rsidR="0059311B" w:rsidRDefault="00774A3B" w:rsidP="005E36CA">
      <w:pPr>
        <w:ind w:left="720"/>
        <w:rPr>
          <w:rFonts w:ascii="TH SarabunPSK" w:hAnsi="TH SarabunPSK" w:cs="TH SarabunPSK"/>
          <w:sz w:val="28"/>
        </w:rPr>
      </w:pPr>
      <w:r w:rsidRPr="00765FD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วิเคราะห์</w:t>
      </w:r>
      <w:r w:rsidR="00334001">
        <w:rPr>
          <w:rFonts w:ascii="TH SarabunPSK" w:hAnsi="TH SarabunPSK" w:cs="TH SarabunPSK" w:hint="cs"/>
          <w:sz w:val="28"/>
          <w:cs/>
        </w:rPr>
        <w:t xml:space="preserve"> </w:t>
      </w:r>
      <w:r w:rsidR="0000008F">
        <w:rPr>
          <w:rFonts w:ascii="TH SarabunPSK" w:hAnsi="TH SarabunPSK" w:cs="TH SarabunPSK" w:hint="cs"/>
          <w:sz w:val="28"/>
          <w:cs/>
        </w:rPr>
        <w:t xml:space="preserve">สภาพคล่องทางด้านการเงิน </w:t>
      </w:r>
      <w:r w:rsidR="00334001">
        <w:rPr>
          <w:rFonts w:ascii="TH SarabunPSK" w:hAnsi="TH SarabunPSK" w:cs="TH SarabunPSK" w:hint="cs"/>
          <w:sz w:val="28"/>
          <w:cs/>
        </w:rPr>
        <w:t>พบว่าอัตราส่วนเงินหมุนเวียน (</w:t>
      </w:r>
      <w:r w:rsidR="00334001">
        <w:rPr>
          <w:rFonts w:ascii="TH SarabunPSK" w:hAnsi="TH SarabunPSK" w:cs="TH SarabunPSK"/>
          <w:sz w:val="28"/>
        </w:rPr>
        <w:t>Current ratio</w:t>
      </w:r>
      <w:r w:rsidR="00334001">
        <w:rPr>
          <w:rFonts w:ascii="TH SarabunPSK" w:hAnsi="TH SarabunPSK" w:cs="TH SarabunPSK" w:hint="cs"/>
          <w:sz w:val="28"/>
          <w:cs/>
        </w:rPr>
        <w:t>) ในช่วง 6 เดือนหลังของปีงบประมาณ 2559 เพิ่มขึ้น แต่ก็ยังอยู่ในระดับที่ต่ำกว่าเป้าหมายเล็กน้อย ด้านอัตราส่วนสินทรัพย์คล่องตัว (</w:t>
      </w:r>
      <w:r w:rsidR="00334001">
        <w:rPr>
          <w:rFonts w:ascii="TH SarabunPSK" w:hAnsi="TH SarabunPSK" w:cs="TH SarabunPSK"/>
          <w:sz w:val="28"/>
        </w:rPr>
        <w:t>Quick ratio</w:t>
      </w:r>
      <w:r w:rsidR="00334001">
        <w:rPr>
          <w:rFonts w:ascii="TH SarabunPSK" w:hAnsi="TH SarabunPSK" w:cs="TH SarabunPSK" w:hint="cs"/>
          <w:sz w:val="28"/>
          <w:cs/>
        </w:rPr>
        <w:t xml:space="preserve">) </w:t>
      </w:r>
      <w:proofErr w:type="gramStart"/>
      <w:r w:rsidR="00334001">
        <w:rPr>
          <w:rFonts w:ascii="TH SarabunPSK" w:hAnsi="TH SarabunPSK" w:cs="TH SarabunPSK" w:hint="cs"/>
          <w:sz w:val="28"/>
          <w:cs/>
        </w:rPr>
        <w:t>ถือว่าอยู่ในเกณฑ์ดี  ซึ่งโรงพยาบาลได้รับเงินจัดสรรเหมาจ่ายรายหัวจาก</w:t>
      </w:r>
      <w:proofErr w:type="gramEnd"/>
      <w:r w:rsidR="00334001">
        <w:rPr>
          <w:rFonts w:ascii="TH SarabunPSK" w:hAnsi="TH SarabunPSK" w:cs="TH SarabunPSK" w:hint="cs"/>
          <w:sz w:val="28"/>
          <w:cs/>
        </w:rPr>
        <w:t xml:space="preserve">  </w:t>
      </w:r>
      <w:proofErr w:type="spellStart"/>
      <w:r w:rsidR="00334001">
        <w:rPr>
          <w:rFonts w:ascii="TH SarabunPSK" w:hAnsi="TH SarabunPSK" w:cs="TH SarabunPSK" w:hint="cs"/>
          <w:sz w:val="28"/>
          <w:cs/>
        </w:rPr>
        <w:t>สปสช.</w:t>
      </w:r>
      <w:proofErr w:type="spellEnd"/>
      <w:r w:rsidR="00334001">
        <w:rPr>
          <w:rFonts w:ascii="TH SarabunPSK" w:hAnsi="TH SarabunPSK" w:cs="TH SarabunPSK" w:hint="cs"/>
          <w:sz w:val="28"/>
          <w:cs/>
        </w:rPr>
        <w:t xml:space="preserve">  มากขึ้น แต่ยังไม่เพียงพอที่จะชำระหนี้ทั้งหมด</w:t>
      </w:r>
    </w:p>
    <w:p w:rsidR="0059637C" w:rsidRDefault="0059637C" w:rsidP="005E36CA">
      <w:pPr>
        <w:ind w:left="720"/>
        <w:rPr>
          <w:rFonts w:ascii="TH SarabunPSK" w:hAnsi="TH SarabunPSK" w:cs="TH SarabunPSK"/>
          <w:sz w:val="28"/>
        </w:rPr>
      </w:pPr>
    </w:p>
    <w:p w:rsidR="0059637C" w:rsidRDefault="0059637C" w:rsidP="005E36CA">
      <w:pPr>
        <w:ind w:left="720"/>
        <w:rPr>
          <w:rFonts w:ascii="TH SarabunPSK" w:hAnsi="TH SarabunPSK" w:cs="TH SarabunPSK"/>
          <w:sz w:val="28"/>
        </w:rPr>
      </w:pPr>
    </w:p>
    <w:p w:rsidR="0059637C" w:rsidRDefault="0059637C" w:rsidP="005E36CA">
      <w:pPr>
        <w:ind w:left="720"/>
        <w:rPr>
          <w:rFonts w:ascii="TH SarabunPSK" w:hAnsi="TH SarabunPSK" w:cs="TH SarabunPSK"/>
          <w:sz w:val="28"/>
        </w:rPr>
      </w:pPr>
    </w:p>
    <w:p w:rsidR="0059637C" w:rsidRDefault="0059637C" w:rsidP="005E36CA">
      <w:pPr>
        <w:ind w:left="720"/>
        <w:rPr>
          <w:rFonts w:ascii="TH SarabunPSK" w:hAnsi="TH SarabunPSK" w:cs="TH SarabunPSK"/>
          <w:sz w:val="28"/>
        </w:rPr>
      </w:pPr>
    </w:p>
    <w:p w:rsidR="0059637C" w:rsidRDefault="0059637C" w:rsidP="005E36CA">
      <w:pPr>
        <w:ind w:left="720"/>
        <w:rPr>
          <w:rFonts w:ascii="TH SarabunPSK" w:hAnsi="TH SarabunPSK" w:cs="TH SarabunPSK"/>
          <w:sz w:val="28"/>
        </w:rPr>
      </w:pPr>
    </w:p>
    <w:p w:rsidR="0059637C" w:rsidRDefault="0059637C" w:rsidP="005E36CA">
      <w:pPr>
        <w:ind w:left="720"/>
        <w:rPr>
          <w:rFonts w:ascii="TH SarabunPSK" w:hAnsi="TH SarabunPSK" w:cs="TH SarabunPSK"/>
          <w:sz w:val="28"/>
        </w:rPr>
      </w:pPr>
    </w:p>
    <w:p w:rsidR="0059637C" w:rsidRDefault="0059637C" w:rsidP="005E36CA">
      <w:pPr>
        <w:ind w:left="720"/>
        <w:rPr>
          <w:rFonts w:ascii="TH SarabunPSK" w:hAnsi="TH SarabunPSK" w:cs="TH SarabunPSK"/>
          <w:sz w:val="28"/>
        </w:rPr>
      </w:pPr>
    </w:p>
    <w:p w:rsidR="0059637C" w:rsidRPr="00334001" w:rsidRDefault="0059637C" w:rsidP="005E36CA">
      <w:pPr>
        <w:ind w:left="720"/>
        <w:rPr>
          <w:rFonts w:ascii="TH SarabunPSK" w:hAnsi="TH SarabunPSK" w:cs="TH SarabunPSK"/>
          <w:sz w:val="28"/>
          <w:cs/>
        </w:rPr>
      </w:pPr>
    </w:p>
    <w:p w:rsidR="008E6832" w:rsidRDefault="008E6832" w:rsidP="008E6832">
      <w:pPr>
        <w:ind w:left="1701" w:hanging="992"/>
        <w:jc w:val="center"/>
        <w:rPr>
          <w:rFonts w:ascii="TH SarabunPSK" w:hAnsi="TH SarabunPSK" w:cs="TH SarabunPSK"/>
          <w:sz w:val="28"/>
        </w:rPr>
      </w:pPr>
      <w:r w:rsidRPr="008E6832">
        <w:rPr>
          <w:rFonts w:ascii="TH SarabunPSK" w:hAnsi="TH SarabunPSK" w:cs="TH SarabunPSK" w:hint="cs"/>
          <w:b/>
          <w:bCs/>
          <w:sz w:val="32"/>
          <w:szCs w:val="32"/>
          <w:cs/>
        </w:rPr>
        <w:t>ประสิทธิภาพการจัดการด้านการเงิน</w:t>
      </w:r>
    </w:p>
    <w:p w:rsidR="00534479" w:rsidRPr="002011C1" w:rsidRDefault="002011C1" w:rsidP="002011C1">
      <w:pPr>
        <w:ind w:left="1701" w:hanging="992"/>
        <w:jc w:val="left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noProof/>
          <w:sz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285115</wp:posOffset>
            </wp:positionV>
            <wp:extent cx="2514600" cy="1190625"/>
            <wp:effectExtent l="19050" t="0" r="19050" b="0"/>
            <wp:wrapThrough wrapText="bothSides">
              <wp:wrapPolygon edited="0">
                <wp:start x="-164" y="0"/>
                <wp:lineTo x="-164" y="21427"/>
                <wp:lineTo x="21764" y="21427"/>
                <wp:lineTo x="21764" y="0"/>
                <wp:lineTo x="-164" y="0"/>
              </wp:wrapPolygon>
            </wp:wrapThrough>
            <wp:docPr id="7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noProof/>
          <w:sz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285115</wp:posOffset>
            </wp:positionV>
            <wp:extent cx="2505075" cy="1190625"/>
            <wp:effectExtent l="19050" t="0" r="9525" b="0"/>
            <wp:wrapThrough wrapText="bothSides">
              <wp:wrapPolygon edited="0">
                <wp:start x="-164" y="0"/>
                <wp:lineTo x="-164" y="21427"/>
                <wp:lineTo x="21682" y="21427"/>
                <wp:lineTo x="21682" y="0"/>
                <wp:lineTo x="-164" y="0"/>
              </wp:wrapPolygon>
            </wp:wrapThrough>
            <wp:docPr id="6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8E6832" w:rsidRPr="008E6832">
        <w:rPr>
          <w:rFonts w:ascii="TH SarabunPSK" w:hAnsi="TH SarabunPSK" w:cs="TH SarabunPSK" w:hint="cs"/>
          <w:b/>
          <w:bCs/>
          <w:sz w:val="28"/>
          <w:cs/>
        </w:rPr>
        <w:t xml:space="preserve">กราฟที่   แสดงระยะเวลารอรับชำระหนี้เฉลี่ย เป้า </w:t>
      </w:r>
      <w:r w:rsidR="008E6832" w:rsidRPr="008E6832">
        <w:rPr>
          <w:rFonts w:ascii="TH SarabunPSK" w:hAnsi="TH SarabunPSK" w:cs="TH SarabunPSK"/>
          <w:b/>
          <w:bCs/>
          <w:sz w:val="28"/>
        </w:rPr>
        <w:t>&lt;</w:t>
      </w:r>
      <w:r w:rsidR="008E6832" w:rsidRPr="008E6832">
        <w:rPr>
          <w:rFonts w:ascii="TH SarabunPSK" w:hAnsi="TH SarabunPSK" w:cs="TH SarabunPSK" w:hint="cs"/>
          <w:b/>
          <w:bCs/>
          <w:sz w:val="28"/>
          <w:cs/>
        </w:rPr>
        <w:t xml:space="preserve"> 90    กราฟที่   แสดงระยะเวลาชำระหนี้เฉลี่ย เป้า </w:t>
      </w:r>
      <w:r w:rsidR="008E6832" w:rsidRPr="008E6832">
        <w:rPr>
          <w:rFonts w:ascii="TH SarabunPSK" w:hAnsi="TH SarabunPSK" w:cs="TH SarabunPSK"/>
          <w:b/>
          <w:bCs/>
          <w:sz w:val="28"/>
        </w:rPr>
        <w:t>&lt; 90</w:t>
      </w:r>
    </w:p>
    <w:p w:rsidR="00534479" w:rsidRDefault="00534479" w:rsidP="00765FDD">
      <w:pPr>
        <w:ind w:left="1701" w:hanging="992"/>
        <w:rPr>
          <w:rFonts w:ascii="TH SarabunPSK" w:hAnsi="TH SarabunPSK" w:cs="TH SarabunPSK"/>
          <w:sz w:val="28"/>
        </w:rPr>
      </w:pPr>
    </w:p>
    <w:p w:rsidR="00534479" w:rsidRDefault="00534479" w:rsidP="00765FDD">
      <w:pPr>
        <w:ind w:left="1701" w:hanging="992"/>
        <w:rPr>
          <w:rFonts w:ascii="TH SarabunPSK" w:hAnsi="TH SarabunPSK" w:cs="TH SarabunPSK"/>
          <w:sz w:val="28"/>
        </w:rPr>
      </w:pPr>
    </w:p>
    <w:p w:rsidR="00AB180F" w:rsidRDefault="00AB180F" w:rsidP="005F13CF">
      <w:pPr>
        <w:spacing w:after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AB180F">
        <w:rPr>
          <w:rFonts w:ascii="TH SarabunPSK" w:hAnsi="TH SarabunPSK" w:cs="TH SarabunPSK" w:hint="cs"/>
          <w:b/>
          <w:bCs/>
          <w:sz w:val="28"/>
          <w:u w:val="single"/>
          <w:cs/>
        </w:rPr>
        <w:t>วิเคราะห์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="0000008F">
        <w:rPr>
          <w:rFonts w:ascii="TH SarabunPSK" w:hAnsi="TH SarabunPSK" w:cs="TH SarabunPSK" w:hint="cs"/>
          <w:sz w:val="28"/>
          <w:cs/>
        </w:rPr>
        <w:t>ระยะเวลาการรับชำระหนี้ยัง</w:t>
      </w:r>
      <w:r w:rsidR="005F13CF">
        <w:rPr>
          <w:rFonts w:ascii="TH SarabunPSK" w:hAnsi="TH SarabunPSK" w:cs="TH SarabunPSK" w:hint="cs"/>
          <w:sz w:val="28"/>
          <w:cs/>
        </w:rPr>
        <w:t xml:space="preserve">ได้ตามเป้าหมาย </w:t>
      </w:r>
      <w:r w:rsidR="00334001">
        <w:rPr>
          <w:rFonts w:ascii="TH SarabunPSK" w:hAnsi="TH SarabunPSK" w:cs="TH SarabunPSK" w:hint="cs"/>
          <w:sz w:val="28"/>
          <w:cs/>
        </w:rPr>
        <w:t>แต่เนื่องจากลูกหนี้ของโรงพยาบาลมีจำนวนไม่มา</w:t>
      </w:r>
      <w:r w:rsidR="0000008F">
        <w:rPr>
          <w:rFonts w:ascii="TH SarabunPSK" w:hAnsi="TH SarabunPSK" w:cs="TH SarabunPSK" w:hint="cs"/>
          <w:sz w:val="28"/>
          <w:cs/>
        </w:rPr>
        <w:t>ก</w:t>
      </w:r>
      <w:r w:rsidR="00334001">
        <w:rPr>
          <w:rFonts w:ascii="TH SarabunPSK" w:hAnsi="TH SarabunPSK" w:cs="TH SarabunPSK" w:hint="cs"/>
          <w:sz w:val="28"/>
          <w:cs/>
        </w:rPr>
        <w:t>เพียงพอที่จะทำให้สภาพคล่องทางการเงินคล่องตัว</w:t>
      </w:r>
    </w:p>
    <w:p w:rsidR="00AF4701" w:rsidRDefault="005F13CF" w:rsidP="00334001">
      <w:pPr>
        <w:spacing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334001">
        <w:rPr>
          <w:rFonts w:ascii="TH SarabunPSK" w:hAnsi="TH SarabunPSK" w:cs="TH SarabunPSK" w:hint="cs"/>
          <w:sz w:val="28"/>
          <w:cs/>
        </w:rPr>
        <w:t>ระยะเวลาการจ่ายชำระหนี้ ยังไม่ได้ตามเป้าหมายเนื่องจาก</w:t>
      </w:r>
      <w:r w:rsidR="00334001" w:rsidRPr="00334001">
        <w:rPr>
          <w:rFonts w:ascii="TH SarabunPSK" w:hAnsi="TH SarabunPSK" w:cs="TH SarabunPSK" w:hint="cs"/>
          <w:sz w:val="28"/>
          <w:cs/>
        </w:rPr>
        <w:t>การจ่ายชำระหนี้</w:t>
      </w:r>
      <w:r w:rsidR="00334001">
        <w:rPr>
          <w:rFonts w:ascii="TH SarabunPSK" w:hAnsi="TH SarabunPSK" w:cs="TH SarabunPSK" w:hint="cs"/>
          <w:sz w:val="28"/>
          <w:cs/>
        </w:rPr>
        <w:t>มีทั้งค่ารักษาพยาบาลตามจ่ายซึ่งเป็นจำนวนที่มาก ทำให้ต้องทยอยจ่ายเพื่อไม่ให้กระทบกับสภาพคล่องทางการเงิน และในกรณ</w:t>
      </w:r>
      <w:r w:rsidR="0059637C">
        <w:rPr>
          <w:rFonts w:ascii="TH SarabunPSK" w:hAnsi="TH SarabunPSK" w:cs="TH SarabunPSK" w:hint="cs"/>
          <w:sz w:val="28"/>
          <w:cs/>
        </w:rPr>
        <w:t>ี</w:t>
      </w:r>
      <w:r w:rsidR="00334001">
        <w:rPr>
          <w:rFonts w:ascii="TH SarabunPSK" w:hAnsi="TH SarabunPSK" w:cs="TH SarabunPSK" w:hint="cs"/>
          <w:sz w:val="28"/>
          <w:cs/>
        </w:rPr>
        <w:t>ที่เป็นส่วนของบริษัทต่างๆ บางครั้งผู้แทนก็จะเข้ามารับเงินหลายๆเดือน/ครั้ง</w:t>
      </w:r>
      <w:r w:rsidR="0059637C">
        <w:rPr>
          <w:rFonts w:ascii="TH SarabunPSK" w:hAnsi="TH SarabunPSK" w:cs="TH SarabunPSK"/>
          <w:sz w:val="28"/>
        </w:rPr>
        <w:t xml:space="preserve"> </w:t>
      </w:r>
      <w:r w:rsidR="003752BF">
        <w:rPr>
          <w:rFonts w:ascii="TH SarabunPSK" w:hAnsi="TH SarabunPSK" w:cs="TH SarabunPSK" w:hint="cs"/>
          <w:sz w:val="28"/>
          <w:cs/>
        </w:rPr>
        <w:t>เนื่องจากมีปัญหาเรื่องระยะทางในการเดิน</w:t>
      </w:r>
      <w:r w:rsidR="0059637C">
        <w:rPr>
          <w:rFonts w:ascii="TH SarabunPSK" w:hAnsi="TH SarabunPSK" w:cs="TH SarabunPSK" w:hint="cs"/>
          <w:sz w:val="28"/>
          <w:cs/>
        </w:rPr>
        <w:t>ทางมาติดต่อกับทางโรงพยาบาล</w:t>
      </w:r>
    </w:p>
    <w:p w:rsidR="0059637C" w:rsidRDefault="0059637C" w:rsidP="00334001">
      <w:pPr>
        <w:spacing w:after="0"/>
        <w:rPr>
          <w:rFonts w:ascii="TH SarabunPSK" w:hAnsi="TH SarabunPSK" w:cs="TH SarabunPSK"/>
          <w:sz w:val="28"/>
        </w:rPr>
      </w:pPr>
    </w:p>
    <w:p w:rsidR="0059637C" w:rsidRPr="0059637C" w:rsidRDefault="0059637C" w:rsidP="00334001">
      <w:pPr>
        <w:spacing w:after="0"/>
        <w:rPr>
          <w:rFonts w:ascii="TH SarabunPSK" w:hAnsi="TH SarabunPSK" w:cs="TH SarabunPSK"/>
          <w:sz w:val="28"/>
          <w:cs/>
        </w:rPr>
      </w:pPr>
    </w:p>
    <w:p w:rsidR="00DB07DC" w:rsidRDefault="00DB07DC" w:rsidP="002011C1">
      <w:pPr>
        <w:spacing w:after="0"/>
        <w:jc w:val="left"/>
        <w:rPr>
          <w:rFonts w:ascii="TH SarabunPSK" w:hAnsi="TH SarabunPSK" w:cs="TH SarabunPSK"/>
          <w:b/>
          <w:bCs/>
          <w:sz w:val="28"/>
        </w:rPr>
      </w:pPr>
      <w:r w:rsidRPr="002011C1">
        <w:rPr>
          <w:rFonts w:ascii="TH SarabunPSK" w:hAnsi="TH SarabunPSK" w:cs="TH SarabunPSK"/>
          <w:b/>
          <w:bCs/>
          <w:sz w:val="28"/>
          <w:cs/>
        </w:rPr>
        <w:t>กราฟ</w:t>
      </w:r>
      <w:r w:rsidR="002011C1">
        <w:rPr>
          <w:rFonts w:ascii="TH SarabunPSK" w:hAnsi="TH SarabunPSK" w:cs="TH SarabunPSK" w:hint="cs"/>
          <w:b/>
          <w:bCs/>
          <w:sz w:val="28"/>
          <w:cs/>
        </w:rPr>
        <w:t xml:space="preserve">ที่   </w:t>
      </w:r>
      <w:r w:rsidRPr="002011C1">
        <w:rPr>
          <w:rFonts w:ascii="TH SarabunPSK" w:hAnsi="TH SarabunPSK" w:cs="TH SarabunPSK"/>
          <w:b/>
          <w:bCs/>
          <w:sz w:val="28"/>
          <w:cs/>
        </w:rPr>
        <w:t xml:space="preserve"> แสดง</w:t>
      </w:r>
      <w:r w:rsidRPr="002011C1">
        <w:rPr>
          <w:rFonts w:ascii="TH SarabunPSK" w:hAnsi="TH SarabunPSK" w:cs="TH SarabunPSK"/>
          <w:b/>
          <w:bCs/>
          <w:sz w:val="28"/>
        </w:rPr>
        <w:t>I</w:t>
      </w:r>
      <w:r w:rsidR="002011C1">
        <w:rPr>
          <w:rFonts w:ascii="TH SarabunPSK" w:hAnsi="TH SarabunPSK" w:cs="TH SarabunPSK"/>
          <w:b/>
          <w:bCs/>
          <w:sz w:val="28"/>
        </w:rPr>
        <w:t>/</w:t>
      </w:r>
      <w:r w:rsidRPr="002011C1">
        <w:rPr>
          <w:rFonts w:ascii="TH SarabunPSK" w:hAnsi="TH SarabunPSK" w:cs="TH SarabunPSK"/>
          <w:b/>
          <w:bCs/>
          <w:sz w:val="28"/>
        </w:rPr>
        <w:t xml:space="preserve">E ratio </w:t>
      </w:r>
      <w:r w:rsidR="002011C1">
        <w:rPr>
          <w:rFonts w:ascii="TH SarabunPSK" w:hAnsi="TH SarabunPSK" w:cs="TH SarabunPSK"/>
          <w:b/>
          <w:bCs/>
          <w:sz w:val="28"/>
          <w:cs/>
        </w:rPr>
        <w:t xml:space="preserve">เป้า </w:t>
      </w:r>
      <w:r w:rsidR="002011C1">
        <w:rPr>
          <w:rFonts w:ascii="TH SarabunPSK" w:hAnsi="TH SarabunPSK" w:cs="TH SarabunPSK"/>
          <w:b/>
          <w:bCs/>
          <w:sz w:val="28"/>
        </w:rPr>
        <w:t>&gt;</w:t>
      </w:r>
      <w:r w:rsidRPr="002011C1">
        <w:rPr>
          <w:rFonts w:ascii="TH SarabunPSK" w:hAnsi="TH SarabunPSK" w:cs="TH SarabunPSK"/>
          <w:b/>
          <w:bCs/>
          <w:sz w:val="28"/>
          <w:cs/>
        </w:rPr>
        <w:t xml:space="preserve"> 1</w:t>
      </w:r>
    </w:p>
    <w:p w:rsidR="00CA0AB9" w:rsidRDefault="00CA0AB9" w:rsidP="002011C1">
      <w:pPr>
        <w:spacing w:after="0"/>
        <w:jc w:val="left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160655</wp:posOffset>
            </wp:positionV>
            <wp:extent cx="2638425" cy="1266825"/>
            <wp:effectExtent l="19050" t="0" r="9525" b="0"/>
            <wp:wrapThrough wrapText="bothSides">
              <wp:wrapPolygon edited="0">
                <wp:start x="-156" y="0"/>
                <wp:lineTo x="-156" y="21438"/>
                <wp:lineTo x="21678" y="21438"/>
                <wp:lineTo x="21678" y="0"/>
                <wp:lineTo x="-156" y="0"/>
              </wp:wrapPolygon>
            </wp:wrapThrough>
            <wp:docPr id="5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F74BE6" w:rsidRPr="00AF4701" w:rsidRDefault="002011C1" w:rsidP="00AF4701">
      <w:pPr>
        <w:ind w:left="4473"/>
        <w:contextualSpacing/>
        <w:rPr>
          <w:rFonts w:ascii="TH SarabunPSK" w:hAnsi="TH SarabunPSK" w:cs="TH SarabunPSK"/>
          <w:sz w:val="28"/>
        </w:rPr>
      </w:pPr>
      <w:r w:rsidRPr="00765FD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วิเคราะห์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IE</w:t>
      </w:r>
      <w:r w:rsidRPr="00765FDD">
        <w:rPr>
          <w:rFonts w:ascii="TH SarabunPSK" w:hAnsi="TH SarabunPSK" w:cs="TH SarabunPSK"/>
          <w:b/>
          <w:bCs/>
          <w:sz w:val="32"/>
          <w:szCs w:val="32"/>
        </w:rPr>
        <w:t xml:space="preserve"> ratio</w:t>
      </w:r>
      <w:r w:rsidR="0000008F">
        <w:rPr>
          <w:rFonts w:ascii="TH SarabunPSK" w:hAnsi="TH SarabunPSK" w:cs="TH SarabunPSK" w:hint="cs"/>
          <w:sz w:val="28"/>
          <w:cs/>
        </w:rPr>
        <w:t xml:space="preserve"> </w:t>
      </w:r>
      <w:r w:rsidR="0059637C">
        <w:rPr>
          <w:rFonts w:ascii="TH SarabunPSK" w:hAnsi="TH SarabunPSK" w:cs="TH SarabunPSK" w:hint="cs"/>
          <w:sz w:val="28"/>
          <w:cs/>
        </w:rPr>
        <w:t>ยังไม่ได้ตามเป้าหมาย รายรับน้อยกว่ารายจ่าย เนื่องจากค่าใช้จ่ายด้านบุคลากรจำนวนมาก ซึ่งไม่สามารถควบคุมได้</w:t>
      </w:r>
    </w:p>
    <w:p w:rsidR="00F74BE6" w:rsidRDefault="00F74BE6" w:rsidP="00DB07D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59311B" w:rsidRDefault="0059311B" w:rsidP="00DB07D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F786F" w:rsidRDefault="00CF786F" w:rsidP="00DB07D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12B6" w:rsidRPr="0000008F" w:rsidRDefault="00EA12B6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sectPr w:rsidR="00EA12B6" w:rsidRPr="0000008F" w:rsidSect="003B6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C2885"/>
    <w:rsid w:val="0000008F"/>
    <w:rsid w:val="00031BDF"/>
    <w:rsid w:val="00181477"/>
    <w:rsid w:val="001B4346"/>
    <w:rsid w:val="001B5F28"/>
    <w:rsid w:val="001C1BAE"/>
    <w:rsid w:val="002011C1"/>
    <w:rsid w:val="00215F86"/>
    <w:rsid w:val="00242B2A"/>
    <w:rsid w:val="0026612E"/>
    <w:rsid w:val="00281E9B"/>
    <w:rsid w:val="002B44E9"/>
    <w:rsid w:val="002B5C42"/>
    <w:rsid w:val="002F7EFC"/>
    <w:rsid w:val="00334001"/>
    <w:rsid w:val="00346AF9"/>
    <w:rsid w:val="00373AC1"/>
    <w:rsid w:val="003752BF"/>
    <w:rsid w:val="00396881"/>
    <w:rsid w:val="00397A00"/>
    <w:rsid w:val="003A47E8"/>
    <w:rsid w:val="003B6416"/>
    <w:rsid w:val="003D4FC3"/>
    <w:rsid w:val="003E1FB9"/>
    <w:rsid w:val="00486C03"/>
    <w:rsid w:val="004A08A8"/>
    <w:rsid w:val="00513642"/>
    <w:rsid w:val="00513CFC"/>
    <w:rsid w:val="0052130D"/>
    <w:rsid w:val="00534479"/>
    <w:rsid w:val="005348BD"/>
    <w:rsid w:val="00537803"/>
    <w:rsid w:val="005544A9"/>
    <w:rsid w:val="00582972"/>
    <w:rsid w:val="00584256"/>
    <w:rsid w:val="0059311B"/>
    <w:rsid w:val="00593E62"/>
    <w:rsid w:val="0059637C"/>
    <w:rsid w:val="005C2326"/>
    <w:rsid w:val="005C65A7"/>
    <w:rsid w:val="005C7D8E"/>
    <w:rsid w:val="005E36CA"/>
    <w:rsid w:val="005F13CF"/>
    <w:rsid w:val="0060793B"/>
    <w:rsid w:val="0061342F"/>
    <w:rsid w:val="00621802"/>
    <w:rsid w:val="00644502"/>
    <w:rsid w:val="00646C58"/>
    <w:rsid w:val="006A0C2F"/>
    <w:rsid w:val="006B084E"/>
    <w:rsid w:val="006C1041"/>
    <w:rsid w:val="006C4983"/>
    <w:rsid w:val="006D3C71"/>
    <w:rsid w:val="007055DF"/>
    <w:rsid w:val="007404B3"/>
    <w:rsid w:val="00750558"/>
    <w:rsid w:val="00751C10"/>
    <w:rsid w:val="007550E1"/>
    <w:rsid w:val="00765FDD"/>
    <w:rsid w:val="00773F9E"/>
    <w:rsid w:val="00774A3B"/>
    <w:rsid w:val="0079297C"/>
    <w:rsid w:val="007D5837"/>
    <w:rsid w:val="007F38FF"/>
    <w:rsid w:val="007F7124"/>
    <w:rsid w:val="008212C6"/>
    <w:rsid w:val="00830AE7"/>
    <w:rsid w:val="00853F72"/>
    <w:rsid w:val="0085419D"/>
    <w:rsid w:val="00860F21"/>
    <w:rsid w:val="00866CF4"/>
    <w:rsid w:val="008862A4"/>
    <w:rsid w:val="008A0B16"/>
    <w:rsid w:val="008D44EA"/>
    <w:rsid w:val="008D4AA5"/>
    <w:rsid w:val="008E6832"/>
    <w:rsid w:val="0090532D"/>
    <w:rsid w:val="00921F1D"/>
    <w:rsid w:val="009408D3"/>
    <w:rsid w:val="0098021A"/>
    <w:rsid w:val="00993A11"/>
    <w:rsid w:val="009C6A98"/>
    <w:rsid w:val="00A23C29"/>
    <w:rsid w:val="00A31584"/>
    <w:rsid w:val="00A37CCC"/>
    <w:rsid w:val="00A85F6F"/>
    <w:rsid w:val="00A94402"/>
    <w:rsid w:val="00AB180F"/>
    <w:rsid w:val="00AB2C26"/>
    <w:rsid w:val="00AC2885"/>
    <w:rsid w:val="00AC4609"/>
    <w:rsid w:val="00AD6A14"/>
    <w:rsid w:val="00AF4701"/>
    <w:rsid w:val="00B052B9"/>
    <w:rsid w:val="00B43AF0"/>
    <w:rsid w:val="00B725B3"/>
    <w:rsid w:val="00BC56E1"/>
    <w:rsid w:val="00BD7E4F"/>
    <w:rsid w:val="00C02612"/>
    <w:rsid w:val="00C14A49"/>
    <w:rsid w:val="00C278AF"/>
    <w:rsid w:val="00C34C60"/>
    <w:rsid w:val="00C50017"/>
    <w:rsid w:val="00CA0AB9"/>
    <w:rsid w:val="00CF786F"/>
    <w:rsid w:val="00D90972"/>
    <w:rsid w:val="00D931FB"/>
    <w:rsid w:val="00DB07DC"/>
    <w:rsid w:val="00DC78F6"/>
    <w:rsid w:val="00E120A5"/>
    <w:rsid w:val="00E37271"/>
    <w:rsid w:val="00E524BC"/>
    <w:rsid w:val="00E8004D"/>
    <w:rsid w:val="00EA12B6"/>
    <w:rsid w:val="00EC384A"/>
    <w:rsid w:val="00EF7D6F"/>
    <w:rsid w:val="00F123B6"/>
    <w:rsid w:val="00F32665"/>
    <w:rsid w:val="00F55DE7"/>
    <w:rsid w:val="00F74BE6"/>
    <w:rsid w:val="00F969E8"/>
    <w:rsid w:val="00FB12F1"/>
    <w:rsid w:val="00FB5852"/>
    <w:rsid w:val="00FE3AD8"/>
    <w:rsid w:val="00FE7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683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E6832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E6832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EF7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current ratio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1.6400000000000001</c:v>
                </c:pt>
                <c:pt idx="1">
                  <c:v>1.29</c:v>
                </c:pt>
                <c:pt idx="2">
                  <c:v>0.9</c:v>
                </c:pt>
                <c:pt idx="3">
                  <c:v>1.46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target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</c:numCache>
            </c:numRef>
          </c:val>
        </c:ser>
        <c:marker val="1"/>
        <c:axId val="22374656"/>
        <c:axId val="62214144"/>
      </c:lineChart>
      <c:catAx>
        <c:axId val="22374656"/>
        <c:scaling>
          <c:orientation val="minMax"/>
        </c:scaling>
        <c:axPos val="b"/>
        <c:numFmt formatCode="General" sourceLinked="1"/>
        <c:tickLblPos val="nextTo"/>
        <c:crossAx val="62214144"/>
        <c:crosses val="autoZero"/>
        <c:auto val="1"/>
        <c:lblAlgn val="ctr"/>
        <c:lblOffset val="100"/>
      </c:catAx>
      <c:valAx>
        <c:axId val="62214144"/>
        <c:scaling>
          <c:orientation val="minMax"/>
        </c:scaling>
        <c:axPos val="l"/>
        <c:majorGridlines/>
        <c:numFmt formatCode="General" sourceLinked="1"/>
        <c:tickLblPos val="nextTo"/>
        <c:crossAx val="22374656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Quick Ratio 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1.46</c:v>
                </c:pt>
                <c:pt idx="1">
                  <c:v>1.23</c:v>
                </c:pt>
                <c:pt idx="2">
                  <c:v>0.85000000000000064</c:v>
                </c:pt>
                <c:pt idx="3">
                  <c:v>1.3900000000000001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target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marker val="1"/>
        <c:axId val="62497536"/>
        <c:axId val="62499072"/>
      </c:lineChart>
      <c:catAx>
        <c:axId val="62497536"/>
        <c:scaling>
          <c:orientation val="minMax"/>
        </c:scaling>
        <c:axPos val="b"/>
        <c:numFmt formatCode="General" sourceLinked="1"/>
        <c:tickLblPos val="nextTo"/>
        <c:crossAx val="62499072"/>
        <c:crosses val="autoZero"/>
        <c:auto val="1"/>
        <c:lblAlgn val="ctr"/>
        <c:lblOffset val="100"/>
      </c:catAx>
      <c:valAx>
        <c:axId val="62499072"/>
        <c:scaling>
          <c:orientation val="minMax"/>
        </c:scaling>
        <c:axPos val="l"/>
        <c:majorGridlines/>
        <c:numFmt formatCode="General" sourceLinked="1"/>
        <c:tickLblPos val="nextTo"/>
        <c:crossAx val="62497536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ชำระหนี้เฉลี่ย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51.42</c:v>
                </c:pt>
                <c:pt idx="1">
                  <c:v>725.68000000000052</c:v>
                </c:pt>
                <c:pt idx="2">
                  <c:v>646.69000000000005</c:v>
                </c:pt>
                <c:pt idx="3">
                  <c:v>1284.3399999999999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target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</c:numCache>
            </c:numRef>
          </c:val>
        </c:ser>
        <c:marker val="1"/>
        <c:axId val="67165184"/>
        <c:axId val="67166976"/>
      </c:lineChart>
      <c:catAx>
        <c:axId val="67165184"/>
        <c:scaling>
          <c:orientation val="minMax"/>
        </c:scaling>
        <c:axPos val="b"/>
        <c:numFmt formatCode="General" sourceLinked="1"/>
        <c:tickLblPos val="nextTo"/>
        <c:crossAx val="67166976"/>
        <c:crosses val="autoZero"/>
        <c:auto val="1"/>
        <c:lblAlgn val="ctr"/>
        <c:lblOffset val="100"/>
      </c:catAx>
      <c:valAx>
        <c:axId val="67166976"/>
        <c:scaling>
          <c:orientation val="minMax"/>
        </c:scaling>
        <c:axPos val="l"/>
        <c:majorGridlines/>
        <c:numFmt formatCode="General" sourceLinked="1"/>
        <c:tickLblPos val="nextTo"/>
        <c:crossAx val="67165184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รอรับชำระหนี้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58.349999999999994</c:v>
                </c:pt>
                <c:pt idx="1">
                  <c:v>167.97</c:v>
                </c:pt>
                <c:pt idx="2">
                  <c:v>180.4</c:v>
                </c:pt>
                <c:pt idx="3">
                  <c:v>26.25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target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</c:numCache>
            </c:numRef>
          </c:val>
        </c:ser>
        <c:marker val="1"/>
        <c:axId val="67323392"/>
        <c:axId val="67324928"/>
      </c:lineChart>
      <c:catAx>
        <c:axId val="67323392"/>
        <c:scaling>
          <c:orientation val="minMax"/>
        </c:scaling>
        <c:axPos val="b"/>
        <c:numFmt formatCode="General" sourceLinked="1"/>
        <c:tickLblPos val="nextTo"/>
        <c:crossAx val="67324928"/>
        <c:crosses val="autoZero"/>
        <c:auto val="1"/>
        <c:lblAlgn val="ctr"/>
        <c:lblOffset val="100"/>
      </c:catAx>
      <c:valAx>
        <c:axId val="67324928"/>
        <c:scaling>
          <c:orientation val="minMax"/>
        </c:scaling>
        <c:axPos val="l"/>
        <c:majorGridlines/>
        <c:numFmt formatCode="General" sourceLinked="1"/>
        <c:tickLblPos val="nextTo"/>
        <c:crossAx val="67323392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IE ratio 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1.29</c:v>
                </c:pt>
                <c:pt idx="1">
                  <c:v>1.04</c:v>
                </c:pt>
                <c:pt idx="2">
                  <c:v>0.68</c:v>
                </c:pt>
                <c:pt idx="3">
                  <c:v>0.95000000000000007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target</c:v>
                </c:pt>
              </c:strCache>
            </c:strRef>
          </c:tx>
          <c:dLbls>
            <c:showVal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56</c:v>
                </c:pt>
                <c:pt idx="1">
                  <c:v>57</c:v>
                </c:pt>
                <c:pt idx="2">
                  <c:v>58</c:v>
                </c:pt>
                <c:pt idx="3">
                  <c:v>59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marker val="1"/>
        <c:axId val="69500928"/>
        <c:axId val="69502464"/>
      </c:lineChart>
      <c:catAx>
        <c:axId val="69500928"/>
        <c:scaling>
          <c:orientation val="minMax"/>
        </c:scaling>
        <c:axPos val="b"/>
        <c:numFmt formatCode="General" sourceLinked="1"/>
        <c:tickLblPos val="nextTo"/>
        <c:crossAx val="69502464"/>
        <c:crosses val="autoZero"/>
        <c:auto val="1"/>
        <c:lblAlgn val="ctr"/>
        <c:lblOffset val="100"/>
      </c:catAx>
      <c:valAx>
        <c:axId val="69502464"/>
        <c:scaling>
          <c:orientation val="minMax"/>
        </c:scaling>
        <c:axPos val="l"/>
        <c:majorGridlines/>
        <c:numFmt formatCode="General" sourceLinked="1"/>
        <c:tickLblPos val="nextTo"/>
        <c:crossAx val="69500928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F68C7-FD95-4B2F-AB85-B4DC4666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manage-ple</dc:creator>
  <cp:keywords/>
  <dc:description/>
  <cp:lastModifiedBy>manage-ple</cp:lastModifiedBy>
  <cp:revision>8</cp:revision>
  <cp:lastPrinted>2016-04-02T03:58:00Z</cp:lastPrinted>
  <dcterms:created xsi:type="dcterms:W3CDTF">2017-01-16T04:22:00Z</dcterms:created>
  <dcterms:modified xsi:type="dcterms:W3CDTF">2017-01-16T06:10:00Z</dcterms:modified>
</cp:coreProperties>
</file>